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73DBB">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501097</w:t>
      </w:r>
      <w:bookmarkStart w:id="8" w:name="_GoBack"/>
      <w:bookmarkEnd w:id="8"/>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60C18580">
      <w:pPr>
        <w:tabs>
          <w:tab w:val="left" w:pos="1985"/>
        </w:tabs>
        <w:rPr>
          <w:rFonts w:ascii="Times New Roman" w:hAnsi="Times New Roman"/>
          <w:b/>
          <w:sz w:val="22"/>
          <w:highlight w:val="none"/>
        </w:rPr>
      </w:pPr>
    </w:p>
    <w:p w14:paraId="0AF8EB85">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20.2</w:t>
      </w:r>
    </w:p>
    <w:p w14:paraId="7B30FCD4">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1054C2E1">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4"/>
      <w:bookmarkStart w:id="3" w:name="OLE_LINK23"/>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testing framework and procedure for one-sided models</w:t>
      </w:r>
    </w:p>
    <w:bookmarkEnd w:id="4"/>
    <w:bookmarkEnd w:id="5"/>
    <w:p w14:paraId="1A81DFD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3550F5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43C0340">
            <w:pPr>
              <w:numPr>
                <w:ilvl w:val="0"/>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3044E129">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64978413">
            <w:pPr>
              <w:numPr>
                <w:ilvl w:val="2"/>
                <w:numId w:val="4"/>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2400150A">
            <w:pPr>
              <w:numPr>
                <w:ilvl w:val="2"/>
                <w:numId w:val="4"/>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562C29F2">
            <w:pPr>
              <w:numPr>
                <w:ilvl w:val="2"/>
                <w:numId w:val="4"/>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29FBE3E8">
            <w:pPr>
              <w:numPr>
                <w:ilvl w:val="2"/>
                <w:numId w:val="4"/>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669078F5">
            <w:pPr>
              <w:numPr>
                <w:ilvl w:val="2"/>
                <w:numId w:val="4"/>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3C34F381">
            <w:pPr>
              <w:numPr>
                <w:ilvl w:val="2"/>
                <w:numId w:val="4"/>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Post-deployment validation due to model change/drift</w:t>
            </w:r>
          </w:p>
          <w:p w14:paraId="4D6A9054">
            <w:pPr>
              <w:numPr>
                <w:ilvl w:val="1"/>
                <w:numId w:val="4"/>
              </w:numPr>
              <w:overflowPunct/>
              <w:autoSpaceDE/>
              <w:autoSpaceDN/>
              <w:adjustRightInd/>
              <w:spacing w:after="0" w:line="259" w:lineRule="auto"/>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RAN5 aspects related to testability and interoperability to be addressed on a request basis</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[2][3].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2"/>
          <w:lang w:val="en-US" w:eastAsia="zh-CN"/>
        </w:rPr>
        <w:t>testing framework and procedure for one-sided models</w:t>
      </w:r>
      <w:r>
        <w:rPr>
          <w:rFonts w:hint="eastAsia" w:ascii="Times New Roman" w:hAnsi="Times New Roman"/>
          <w:sz w:val="20"/>
          <w:szCs w:val="20"/>
        </w:rPr>
        <w:t>.</w:t>
      </w:r>
    </w:p>
    <w:p w14:paraId="0BEA4C21">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AF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3B957DB">
            <w:pPr>
              <w:rPr>
                <w:rFonts w:hint="default" w:ascii="Times New Roman" w:hAnsi="Times New Roman" w:eastAsia="Yu Mincho" w:cs="Times New Roman"/>
                <w:b/>
                <w:color w:val="auto"/>
                <w:sz w:val="20"/>
                <w:szCs w:val="20"/>
                <w:u w:val="single"/>
                <w:lang w:eastAsia="ja-JP"/>
              </w:rPr>
            </w:pPr>
            <w:r>
              <w:rPr>
                <w:rFonts w:hint="default" w:ascii="Times New Roman" w:hAnsi="Times New Roman" w:cs="Times New Roman"/>
                <w:b/>
                <w:color w:val="auto"/>
                <w:sz w:val="20"/>
                <w:szCs w:val="20"/>
                <w:u w:val="single"/>
                <w:lang w:eastAsia="ko-KR"/>
              </w:rPr>
              <w:t xml:space="preserve">Issue </w:t>
            </w:r>
            <w:r>
              <w:rPr>
                <w:rFonts w:hint="default" w:ascii="Times New Roman" w:hAnsi="Times New Roman" w:eastAsia="Yu Mincho" w:cs="Times New Roman"/>
                <w:b/>
                <w:color w:val="auto"/>
                <w:sz w:val="20"/>
                <w:szCs w:val="20"/>
                <w:u w:val="single"/>
                <w:lang w:eastAsia="ja-JP"/>
              </w:rPr>
              <w:t>3</w:t>
            </w:r>
            <w:r>
              <w:rPr>
                <w:rFonts w:hint="default" w:ascii="Times New Roman" w:hAnsi="Times New Roman" w:cs="Times New Roman"/>
                <w:b/>
                <w:color w:val="auto"/>
                <w:sz w:val="20"/>
                <w:szCs w:val="20"/>
                <w:u w:val="single"/>
                <w:lang w:eastAsia="ko-KR"/>
              </w:rPr>
              <w:t>-6:</w:t>
            </w:r>
            <w:r>
              <w:rPr>
                <w:rFonts w:hint="default" w:ascii="Times New Roman" w:hAnsi="Times New Roman" w:cs="Times New Roman"/>
                <w:b/>
                <w:color w:val="auto"/>
                <w:sz w:val="20"/>
                <w:szCs w:val="20"/>
                <w:u w:val="single"/>
                <w:lang w:eastAsia="ko-KR"/>
              </w:rPr>
              <w:tab/>
            </w:r>
            <w:r>
              <w:rPr>
                <w:rFonts w:hint="default" w:ascii="Times New Roman" w:hAnsi="Times New Roman" w:eastAsia="Yu Mincho" w:cs="Times New Roman"/>
                <w:b/>
                <w:color w:val="auto"/>
                <w:sz w:val="20"/>
                <w:szCs w:val="20"/>
                <w:u w:val="single"/>
                <w:lang w:eastAsia="ja-JP"/>
              </w:rPr>
              <w:t>Measurement error impact evaluation</w:t>
            </w:r>
          </w:p>
          <w:p w14:paraId="41C9079B">
            <w:pPr>
              <w:pStyle w:val="10"/>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75FFB35A">
            <w:pPr>
              <w:pStyle w:val="10"/>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 </w:t>
            </w:r>
            <w:r>
              <w:rPr>
                <w:rFonts w:hint="default" w:ascii="Times New Roman" w:hAnsi="Times New Roman" w:eastAsia="Yu Mincho" w:cs="Times New Roman"/>
                <w:color w:val="auto"/>
                <w:sz w:val="20"/>
                <w:szCs w:val="20"/>
                <w:lang w:eastAsia="ja-JP"/>
              </w:rPr>
              <w:t xml:space="preserve">model RF error as same within an RF module but varies across modules, FFS the distribution </w:t>
            </w:r>
          </w:p>
          <w:p w14:paraId="50EE7077">
            <w:pPr>
              <w:pStyle w:val="10"/>
              <w:numPr>
                <w:ilvl w:val="1"/>
                <w:numId w:val="5"/>
              </w:numPr>
              <w:overflowPunct/>
              <w:autoSpaceDE/>
              <w:autoSpaceDN/>
              <w:adjustRightInd/>
              <w:spacing w:after="120"/>
              <w:ind w:left="1418" w:hanging="284"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2: </w:t>
            </w:r>
            <w:r>
              <w:rPr>
                <w:rFonts w:hint="default" w:ascii="Times New Roman" w:hAnsi="Times New Roman" w:eastAsia="Yu Mincho" w:cs="Times New Roman"/>
                <w:color w:val="auto"/>
                <w:sz w:val="20"/>
                <w:szCs w:val="20"/>
                <w:lang w:eastAsia="ja-JP"/>
              </w:rPr>
              <w:t>Gaussian distribution with +/- 2.5dB for BB errors and total of +/-6.5 for BB+RF</w:t>
            </w:r>
          </w:p>
          <w:p w14:paraId="7A6EC6B2">
            <w:pPr>
              <w:pStyle w:val="10"/>
              <w:numPr>
                <w:ilvl w:val="1"/>
                <w:numId w:val="5"/>
              </w:numPr>
              <w:overflowPunct/>
              <w:autoSpaceDE/>
              <w:autoSpaceDN/>
              <w:adjustRightInd/>
              <w:spacing w:after="120"/>
              <w:ind w:left="1418" w:hanging="284"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Option 3: model RF error as</w:t>
            </w:r>
          </w:p>
          <w:p w14:paraId="5D9481F9">
            <w:pPr>
              <w:pStyle w:val="10"/>
              <w:numPr>
                <w:ilvl w:val="2"/>
                <w:numId w:val="5"/>
              </w:numPr>
              <w:overflowPunct/>
              <w:autoSpaceDE/>
              <w:autoSpaceDN/>
              <w:adjustRightInd/>
              <w:spacing w:after="120"/>
              <w:ind w:firstLineChars="0"/>
              <w:textAlignment w:val="auto"/>
              <w:rPr>
                <w:rFonts w:hint="default" w:ascii="Times New Roman" w:hAnsi="Times New Roman" w:cs="Times New Roman"/>
                <w:b w:val="0"/>
                <w:bCs/>
                <w:color w:val="auto"/>
                <w:sz w:val="20"/>
                <w:szCs w:val="20"/>
              </w:rPr>
            </w:pPr>
            <w:r>
              <w:rPr>
                <w:rFonts w:hint="default" w:ascii="Times New Roman" w:hAnsi="Times New Roman" w:cs="Times New Roman"/>
                <w:b w:val="0"/>
                <w:bCs/>
                <w:color w:val="auto"/>
                <w:sz w:val="20"/>
                <w:szCs w:val="20"/>
              </w:rPr>
              <w:t>An offset value in the original dataset;</w:t>
            </w:r>
          </w:p>
          <w:p w14:paraId="7802A9CE">
            <w:pPr>
              <w:pStyle w:val="10"/>
              <w:numPr>
                <w:ilvl w:val="2"/>
                <w:numId w:val="5"/>
              </w:numPr>
              <w:overflowPunct/>
              <w:autoSpaceDE/>
              <w:autoSpaceDN/>
              <w:adjustRightInd/>
              <w:spacing w:after="120"/>
              <w:ind w:firstLineChars="0"/>
              <w:textAlignment w:val="auto"/>
              <w:rPr>
                <w:rFonts w:hint="default" w:ascii="Times New Roman" w:hAnsi="Times New Roman" w:cs="Times New Roman"/>
                <w:b w:val="0"/>
                <w:bCs/>
                <w:color w:val="auto"/>
                <w:sz w:val="20"/>
                <w:szCs w:val="20"/>
              </w:rPr>
            </w:pPr>
            <w:r>
              <w:rPr>
                <w:rFonts w:hint="default" w:ascii="Times New Roman" w:hAnsi="Times New Roman" w:cs="Times New Roman"/>
                <w:b w:val="0"/>
                <w:bCs/>
                <w:color w:val="auto"/>
                <w:sz w:val="20"/>
                <w:szCs w:val="20"/>
              </w:rPr>
              <w:t>Truncated Uniform distribution;</w:t>
            </w:r>
          </w:p>
          <w:p w14:paraId="5656F805">
            <w:pPr>
              <w:pStyle w:val="10"/>
              <w:numPr>
                <w:ilvl w:val="2"/>
                <w:numId w:val="5"/>
              </w:numPr>
              <w:overflowPunct/>
              <w:autoSpaceDE/>
              <w:autoSpaceDN/>
              <w:adjustRightInd/>
              <w:spacing w:after="120"/>
              <w:ind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cs="Times New Roman"/>
                <w:b w:val="0"/>
                <w:bCs/>
                <w:color w:val="auto"/>
                <w:sz w:val="20"/>
                <w:szCs w:val="20"/>
              </w:rPr>
              <w:t>Truncated Gaussian distribution.</w:t>
            </w:r>
          </w:p>
        </w:tc>
      </w:tr>
    </w:tbl>
    <w:p w14:paraId="714402EE">
      <w:pPr>
        <w:spacing w:after="180" w:line="240" w:lineRule="exact"/>
        <w:rPr>
          <w:rFonts w:hint="eastAsia" w:ascii="Times New Roman" w:hAnsi="Times New Roman" w:eastAsia="等线"/>
          <w:bCs/>
          <w:iCs/>
          <w:sz w:val="20"/>
          <w:szCs w:val="20"/>
          <w:lang w:val="en-US" w:eastAsia="zh-CN"/>
        </w:rPr>
      </w:pPr>
    </w:p>
    <w:p w14:paraId="51A77A8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agreed simulation assumptions for beam prediction, simulation assumptions for baseband error and RF error are also covered. For RF error, ±4.5dB is considered. As for the detail about how to generate RF errors, e.g. independent for each TX beam, or same for each TX beam, it is still open. This issue is more related with UE implementation, input from UE vendors is appreciated. As for baseband error, there are two options about how to apply it to the SLS. Option 1 is to apply error distribution from the post beamforming SNR of the strongest Tx-Rx beam pair to all Tx-Rx beam pair’s measurements in the SLS. Option 2 is to generate error distribution separately for each individual Tx-Rx beam pair’s SNRs and apply to the corresponding Tx-Rx beam pair measurement in the SLS. According to the initial simulation results from companies, the performance is different between the two options. From practical point of view, the error is different from different SNRs. It is better to allign with the real deployment. Considering that the main target is to evaluate the measurement error impact on prediction performance, no need to evaluate the impact due to BB error and RF error seperately, a single measurement error inlcudes both baseband error and RF error can be considered. </w:t>
      </w:r>
    </w:p>
    <w:p w14:paraId="546BB4B3">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measurement error impact evaluation, it is proposed to consider a single error covering both baseband error and RF error. And it is proposed to consider baseband error under different SNR.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CC5E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5DB688C">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 xml:space="preserve">Issue </w:t>
            </w:r>
            <w:r>
              <w:rPr>
                <w:rFonts w:hint="default" w:ascii="Times New Roman" w:hAnsi="Times New Roman" w:eastAsia="Yu Mincho" w:cs="Times New Roman"/>
                <w:b/>
                <w:color w:val="auto"/>
                <w:sz w:val="20"/>
                <w:szCs w:val="20"/>
                <w:u w:val="single"/>
                <w:lang w:eastAsia="ja-JP"/>
              </w:rPr>
              <w:t>3</w:t>
            </w:r>
            <w:r>
              <w:rPr>
                <w:rFonts w:hint="default" w:ascii="Times New Roman" w:hAnsi="Times New Roman" w:cs="Times New Roman"/>
                <w:b/>
                <w:color w:val="auto"/>
                <w:sz w:val="20"/>
                <w:szCs w:val="20"/>
                <w:u w:val="single"/>
                <w:lang w:eastAsia="ko-KR"/>
              </w:rPr>
              <w:t>-</w:t>
            </w:r>
            <w:r>
              <w:rPr>
                <w:rFonts w:hint="default" w:ascii="Times New Roman" w:hAnsi="Times New Roman" w:eastAsia="Yu Mincho" w:cs="Times New Roman"/>
                <w:b/>
                <w:color w:val="auto"/>
                <w:sz w:val="20"/>
                <w:szCs w:val="20"/>
                <w:u w:val="single"/>
                <w:lang w:eastAsia="ja-JP"/>
              </w:rPr>
              <w:t>9</w:t>
            </w:r>
            <w:r>
              <w:rPr>
                <w:rFonts w:hint="default" w:ascii="Times New Roman" w:hAnsi="Times New Roman" w:cs="Times New Roman"/>
                <w:b/>
                <w:color w:val="auto"/>
                <w:sz w:val="20"/>
                <w:szCs w:val="20"/>
                <w:u w:val="single"/>
                <w:lang w:eastAsia="ko-KR"/>
              </w:rPr>
              <w:t xml:space="preserve">: </w:t>
            </w:r>
            <w:r>
              <w:rPr>
                <w:rFonts w:hint="default" w:ascii="Times New Roman" w:hAnsi="Times New Roman" w:eastAsia="Yu Mincho" w:cs="Times New Roman"/>
                <w:b/>
                <w:color w:val="auto"/>
                <w:sz w:val="20"/>
                <w:szCs w:val="20"/>
                <w:u w:val="single"/>
                <w:lang w:eastAsia="ja-JP"/>
              </w:rPr>
              <w:t>AoA/AoD</w:t>
            </w:r>
          </w:p>
          <w:p w14:paraId="7D46BD5D">
            <w:pPr>
              <w:pStyle w:val="10"/>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0AC50544">
            <w:pPr>
              <w:pStyle w:val="10"/>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 </w:t>
            </w:r>
            <w:r>
              <w:rPr>
                <w:rFonts w:hint="default" w:ascii="Times New Roman" w:hAnsi="Times New Roman" w:eastAsia="Yu Mincho" w:cs="Times New Roman"/>
                <w:color w:val="auto"/>
                <w:sz w:val="20"/>
                <w:szCs w:val="20"/>
                <w:lang w:eastAsia="ja-JP"/>
              </w:rPr>
              <w:t>exclude test setup with single AoA(single probe)</w:t>
            </w:r>
          </w:p>
          <w:p w14:paraId="4367C8CF">
            <w:pPr>
              <w:pStyle w:val="10"/>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2: </w:t>
            </w:r>
            <w:r>
              <w:rPr>
                <w:rFonts w:hint="default" w:ascii="Times New Roman" w:hAnsi="Times New Roman" w:eastAsia="Yu Mincho" w:cs="Times New Roman"/>
                <w:color w:val="auto"/>
                <w:sz w:val="20"/>
                <w:szCs w:val="20"/>
                <w:lang w:eastAsia="ja-JP"/>
              </w:rPr>
              <w:t>further study single AoA setup:</w:t>
            </w:r>
          </w:p>
          <w:p w14:paraId="09C3CAB4">
            <w:pPr>
              <w:pStyle w:val="10"/>
              <w:numPr>
                <w:ilvl w:val="2"/>
                <w:numId w:val="5"/>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 xml:space="preserve"> Companies should bring further analysis on relevance of such a test to beam prediction and how it would relate to field deployments</w:t>
            </w:r>
          </w:p>
          <w:p w14:paraId="4D4F6394">
            <w:pPr>
              <w:pStyle w:val="10"/>
              <w:numPr>
                <w:ilvl w:val="1"/>
                <w:numId w:val="5"/>
              </w:numPr>
              <w:overflowPunct/>
              <w:autoSpaceDE/>
              <w:autoSpaceDN/>
              <w:adjustRightInd/>
              <w:spacing w:after="120"/>
              <w:ind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Yu Mincho" w:cs="Times New Roman"/>
                <w:color w:val="auto"/>
                <w:sz w:val="20"/>
                <w:szCs w:val="20"/>
                <w:lang w:eastAsia="ja-JP"/>
              </w:rPr>
              <w:t>Option 3: other</w:t>
            </w:r>
          </w:p>
        </w:tc>
      </w:tr>
    </w:tbl>
    <w:p w14:paraId="470F2023">
      <w:pPr>
        <w:spacing w:after="180" w:line="240" w:lineRule="exact"/>
        <w:rPr>
          <w:rFonts w:hint="eastAsia" w:ascii="Times New Roman" w:hAnsi="Times New Roman" w:eastAsia="等线"/>
          <w:bCs/>
          <w:iCs/>
          <w:sz w:val="20"/>
          <w:szCs w:val="20"/>
          <w:lang w:val="en-US" w:eastAsia="zh-CN"/>
        </w:rPr>
      </w:pPr>
    </w:p>
    <w:p w14:paraId="2A59A50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Acorrding to previous discussion, some companies propose only to verify AI funtionality, since the model input is RSRP. We have different views, not only the functionality but also the prediction performance need to be verified. It is necessary to consider UE RX beam sweeping. From this point of view, multiple AoAs is preferred.</w:t>
      </w:r>
    </w:p>
    <w:p w14:paraId="1437C8E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to verify beam management performance, it is proposed to use multiple AoAs test systems.</w:t>
      </w:r>
    </w:p>
    <w:p w14:paraId="528332C9">
      <w:pPr>
        <w:spacing w:after="180" w:line="240" w:lineRule="exact"/>
        <w:rPr>
          <w:rFonts w:hint="default" w:ascii="Times New Roman" w:hAnsi="Times New Roman" w:eastAsia="等线"/>
          <w:bCs/>
          <w:iCs/>
          <w:sz w:val="20"/>
          <w:szCs w:val="20"/>
          <w:lang w:val="en-US" w:eastAsia="zh-CN"/>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8D53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ECE3AC0">
            <w:pPr>
              <w:rPr>
                <w:rFonts w:hint="default" w:ascii="Times New Roman" w:hAnsi="Times New Roman" w:eastAsia="Yu Mincho" w:cs="Times New Roman"/>
                <w:b/>
                <w:color w:val="auto"/>
                <w:sz w:val="20"/>
                <w:szCs w:val="20"/>
                <w:u w:val="single"/>
                <w:lang w:eastAsia="ja-JP"/>
              </w:rPr>
            </w:pPr>
            <w:r>
              <w:rPr>
                <w:rFonts w:hint="default" w:ascii="Times New Roman" w:hAnsi="Times New Roman" w:cs="Times New Roman"/>
                <w:b/>
                <w:color w:val="auto"/>
                <w:sz w:val="20"/>
                <w:szCs w:val="20"/>
                <w:u w:val="single"/>
                <w:lang w:eastAsia="ko-KR"/>
              </w:rPr>
              <w:t xml:space="preserve">Issue </w:t>
            </w:r>
            <w:r>
              <w:rPr>
                <w:rFonts w:hint="default" w:ascii="Times New Roman" w:hAnsi="Times New Roman" w:eastAsia="Yu Mincho" w:cs="Times New Roman"/>
                <w:b/>
                <w:color w:val="auto"/>
                <w:sz w:val="20"/>
                <w:szCs w:val="20"/>
                <w:u w:val="single"/>
                <w:lang w:eastAsia="ja-JP"/>
              </w:rPr>
              <w:t>3</w:t>
            </w:r>
            <w:r>
              <w:rPr>
                <w:rFonts w:hint="default" w:ascii="Times New Roman" w:hAnsi="Times New Roman" w:cs="Times New Roman"/>
                <w:b/>
                <w:color w:val="auto"/>
                <w:sz w:val="20"/>
                <w:szCs w:val="20"/>
                <w:u w:val="single"/>
                <w:lang w:eastAsia="ko-KR"/>
              </w:rPr>
              <w:t>-</w:t>
            </w:r>
            <w:r>
              <w:rPr>
                <w:rFonts w:hint="default" w:ascii="Times New Roman" w:hAnsi="Times New Roman" w:eastAsia="Yu Mincho" w:cs="Times New Roman"/>
                <w:b/>
                <w:color w:val="auto"/>
                <w:sz w:val="20"/>
                <w:szCs w:val="20"/>
                <w:u w:val="single"/>
                <w:lang w:eastAsia="ja-JP"/>
              </w:rPr>
              <w:t>11</w:t>
            </w:r>
            <w:r>
              <w:rPr>
                <w:rFonts w:hint="default" w:ascii="Times New Roman" w:hAnsi="Times New Roman" w:cs="Times New Roman"/>
                <w:b/>
                <w:color w:val="auto"/>
                <w:sz w:val="20"/>
                <w:szCs w:val="20"/>
                <w:u w:val="single"/>
                <w:lang w:eastAsia="ko-KR"/>
              </w:rPr>
              <w:t xml:space="preserve">: </w:t>
            </w:r>
            <w:r>
              <w:rPr>
                <w:rFonts w:hint="default" w:ascii="Times New Roman" w:hAnsi="Times New Roman" w:eastAsia="Yu Mincho" w:cs="Times New Roman"/>
                <w:b/>
                <w:color w:val="auto"/>
                <w:sz w:val="20"/>
                <w:szCs w:val="20"/>
                <w:u w:val="single"/>
                <w:lang w:eastAsia="ja-JP"/>
              </w:rPr>
              <w:t>Channel model for beam prediction</w:t>
            </w:r>
          </w:p>
          <w:p w14:paraId="08B0A0CF">
            <w:pPr>
              <w:pStyle w:val="10"/>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1D0D7E35">
            <w:pPr>
              <w:pStyle w:val="10"/>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 </w:t>
            </w:r>
            <w:r>
              <w:rPr>
                <w:rFonts w:hint="default" w:ascii="Times New Roman" w:hAnsi="Times New Roman" w:eastAsia="Yu Mincho" w:cs="Times New Roman"/>
                <w:color w:val="auto"/>
                <w:sz w:val="20"/>
                <w:szCs w:val="20"/>
                <w:lang w:eastAsia="ja-JP"/>
              </w:rPr>
              <w:t xml:space="preserve">multi-AoA TDL </w:t>
            </w:r>
          </w:p>
          <w:p w14:paraId="29AF7931">
            <w:pPr>
              <w:pStyle w:val="10"/>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2: </w:t>
            </w:r>
            <w:r>
              <w:rPr>
                <w:rFonts w:hint="default" w:ascii="Times New Roman" w:hAnsi="Times New Roman" w:eastAsia="Yu Mincho" w:cs="Times New Roman"/>
                <w:color w:val="auto"/>
                <w:sz w:val="20"/>
                <w:szCs w:val="20"/>
                <w:lang w:eastAsia="ja-JP"/>
              </w:rPr>
              <w:t>simplified CDL</w:t>
            </w:r>
          </w:p>
          <w:p w14:paraId="567B62A1">
            <w:pPr>
              <w:pStyle w:val="10"/>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Option 3: further study both multi-AoA TDL and simplified CDL</w:t>
            </w:r>
          </w:p>
          <w:p w14:paraId="79969FD7">
            <w:pPr>
              <w:pStyle w:val="10"/>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Option 4: CDL without simplification</w:t>
            </w:r>
          </w:p>
          <w:p w14:paraId="60CAE08C">
            <w:pPr>
              <w:pStyle w:val="10"/>
              <w:numPr>
                <w:ilvl w:val="1"/>
                <w:numId w:val="5"/>
              </w:numPr>
              <w:overflowPunct/>
              <w:autoSpaceDE/>
              <w:autoSpaceDN/>
              <w:adjustRightInd/>
              <w:spacing w:after="120"/>
              <w:ind w:left="1440"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Yu Mincho" w:cs="Times New Roman"/>
                <w:color w:val="auto"/>
                <w:sz w:val="20"/>
                <w:szCs w:val="20"/>
                <w:lang w:eastAsia="ja-JP"/>
              </w:rPr>
              <w:t xml:space="preserve">Option 5: others </w:t>
            </w:r>
          </w:p>
        </w:tc>
      </w:tr>
    </w:tbl>
    <w:p w14:paraId="333CAAB4">
      <w:pPr>
        <w:spacing w:after="180" w:line="240" w:lineRule="exact"/>
        <w:rPr>
          <w:rFonts w:hint="eastAsia" w:ascii="Times New Roman" w:hAnsi="Times New Roman" w:eastAsia="等线"/>
          <w:bCs/>
          <w:iCs/>
          <w:sz w:val="20"/>
          <w:szCs w:val="20"/>
          <w:lang w:val="en-US" w:eastAsia="zh-CN"/>
        </w:rPr>
      </w:pPr>
    </w:p>
    <w:p w14:paraId="0ADAE7A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Spatial/time domain prediction require to learn the sufficient spatial/time domain characteristic, which means that sufficient randomness and variation in time and spatial domain in the test is necessary. Compared with TDL, CDL channel provides more spatial characteristics and reflects field conditions accurately, and is more suitable for beam prediction testing. However, CDL channel requires multiple probes, and the test complexity and cost are increasing. Based on above consideration, we are also fine with simplified CDL with small number of clusters.</w:t>
      </w:r>
    </w:p>
    <w:p w14:paraId="2384920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beam prediction testing, it is prefered to consider CDL, but we are also fine with simplified CDL.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8CAD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9682BF8">
            <w:pPr>
              <w:rPr>
                <w:rFonts w:hint="default" w:ascii="Times New Roman" w:hAnsi="Times New Roman" w:eastAsia="宋体" w:cs="Times New Roman"/>
                <w:b/>
                <w:color w:val="auto"/>
                <w:sz w:val="20"/>
                <w:szCs w:val="20"/>
                <w:u w:val="none"/>
                <w:lang w:val="en-US" w:eastAsia="zh-CN"/>
              </w:rPr>
            </w:pPr>
            <w:r>
              <w:rPr>
                <w:rFonts w:hint="eastAsia" w:ascii="Times New Roman" w:hAnsi="Times New Roman" w:cs="Times New Roman"/>
                <w:b/>
                <w:color w:val="auto"/>
                <w:sz w:val="20"/>
                <w:szCs w:val="20"/>
                <w:u w:val="none"/>
                <w:lang w:val="en-US" w:eastAsia="zh-CN"/>
              </w:rPr>
              <w:t>WF in RAN4 #112bis:</w:t>
            </w:r>
          </w:p>
          <w:p w14:paraId="2291E06A">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Issue 2-</w:t>
            </w:r>
            <w:r>
              <w:rPr>
                <w:rFonts w:hint="default" w:ascii="Times New Roman" w:hAnsi="Times New Roman" w:eastAsia="Yu Mincho" w:cs="Times New Roman"/>
                <w:b/>
                <w:color w:val="auto"/>
                <w:sz w:val="20"/>
                <w:szCs w:val="20"/>
                <w:u w:val="single"/>
                <w:lang w:eastAsia="ja-JP"/>
              </w:rPr>
              <w:t>11</w:t>
            </w:r>
            <w:r>
              <w:rPr>
                <w:rFonts w:hint="default" w:ascii="Times New Roman" w:hAnsi="Times New Roman" w:cs="Times New Roman"/>
                <w:b/>
                <w:color w:val="auto"/>
                <w:sz w:val="20"/>
                <w:szCs w:val="20"/>
                <w:u w:val="single"/>
                <w:lang w:eastAsia="ko-KR"/>
              </w:rPr>
              <w:t xml:space="preserve">: </w:t>
            </w:r>
            <w:r>
              <w:rPr>
                <w:rFonts w:hint="default" w:ascii="Times New Roman" w:hAnsi="Times New Roman" w:eastAsia="Yu Mincho" w:cs="Times New Roman"/>
                <w:b/>
                <w:color w:val="auto"/>
                <w:sz w:val="20"/>
                <w:szCs w:val="20"/>
                <w:u w:val="single"/>
                <w:lang w:eastAsia="ja-JP"/>
              </w:rPr>
              <w:t>Beam prediction testing process</w:t>
            </w:r>
          </w:p>
          <w:p w14:paraId="1C660D17">
            <w:pPr>
              <w:pStyle w:val="10"/>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20962F0F">
            <w:pPr>
              <w:pStyle w:val="10"/>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 </w:t>
            </w:r>
            <w:r>
              <w:rPr>
                <w:rFonts w:hint="default" w:ascii="Times New Roman" w:hAnsi="Times New Roman" w:eastAsia="Yu Mincho" w:cs="Times New Roman"/>
                <w:color w:val="auto"/>
                <w:sz w:val="20"/>
                <w:szCs w:val="20"/>
                <w:lang w:eastAsia="ja-JP"/>
              </w:rPr>
              <w:t xml:space="preserve">Test needs to have at least 2 parts: </w:t>
            </w:r>
          </w:p>
          <w:p w14:paraId="51126A36">
            <w:pPr>
              <w:pStyle w:val="10"/>
              <w:numPr>
                <w:ilvl w:val="2"/>
                <w:numId w:val="5"/>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1. inference part of the test (UE has to make the actual prediction)</w:t>
            </w:r>
          </w:p>
          <w:p w14:paraId="3FCE4146">
            <w:pPr>
              <w:pStyle w:val="10"/>
              <w:numPr>
                <w:ilvl w:val="2"/>
                <w:numId w:val="5"/>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 xml:space="preserve">2. predicted beam measurement (UE has to measure and report “the ground truth”) </w:t>
            </w:r>
          </w:p>
          <w:p w14:paraId="67E21FC6">
            <w:pPr>
              <w:pStyle w:val="10"/>
              <w:numPr>
                <w:ilvl w:val="1"/>
                <w:numId w:val="5"/>
              </w:numPr>
              <w:overflowPunct/>
              <w:autoSpaceDE/>
              <w:autoSpaceDN/>
              <w:adjustRightInd/>
              <w:spacing w:after="120"/>
              <w:ind w:left="1440"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宋体" w:cs="Times New Roman"/>
                <w:color w:val="auto"/>
                <w:sz w:val="20"/>
                <w:szCs w:val="20"/>
                <w:lang w:eastAsia="zh-CN"/>
              </w:rPr>
              <w:t xml:space="preserve">Option 2: </w:t>
            </w:r>
            <w:r>
              <w:rPr>
                <w:rFonts w:hint="default" w:ascii="Times New Roman" w:hAnsi="Times New Roman" w:eastAsia="Yu Mincho" w:cs="Times New Roman"/>
                <w:color w:val="auto"/>
                <w:sz w:val="20"/>
                <w:szCs w:val="20"/>
                <w:lang w:eastAsia="ja-JP"/>
              </w:rPr>
              <w:t>others</w:t>
            </w:r>
          </w:p>
        </w:tc>
      </w:tr>
    </w:tbl>
    <w:p w14:paraId="45CDEBF1">
      <w:pPr>
        <w:spacing w:after="180" w:line="240" w:lineRule="exact"/>
        <w:rPr>
          <w:rFonts w:hint="eastAsia" w:ascii="Times New Roman" w:hAnsi="Times New Roman" w:eastAsia="等线"/>
          <w:bCs/>
          <w:iCs/>
          <w:sz w:val="20"/>
          <w:szCs w:val="20"/>
          <w:lang w:val="en-US" w:eastAsia="zh-CN"/>
        </w:rPr>
      </w:pPr>
    </w:p>
    <w:p w14:paraId="39A5A3A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Since </w:t>
      </w:r>
      <w:r>
        <w:rPr>
          <w:rFonts w:hint="default" w:ascii="Times New Roman" w:hAnsi="Times New Roman" w:eastAsia="Yu Mincho" w:cs="Times New Roman"/>
          <w:sz w:val="20"/>
          <w:szCs w:val="20"/>
          <w:highlight w:val="none"/>
          <w:lang w:eastAsia="ja-JP"/>
        </w:rPr>
        <w:t>reported RSRP measurement</w:t>
      </w:r>
      <w:r>
        <w:rPr>
          <w:rFonts w:hint="eastAsia" w:ascii="Times New Roman" w:hAnsi="Times New Roman" w:eastAsia="宋体" w:cs="Times New Roman"/>
          <w:sz w:val="20"/>
          <w:szCs w:val="20"/>
          <w:highlight w:val="none"/>
          <w:lang w:val="en-US" w:eastAsia="zh-CN"/>
        </w:rPr>
        <w:t xml:space="preserve"> is impacted by </w:t>
      </w:r>
      <w:r>
        <w:rPr>
          <w:rFonts w:hint="eastAsia" w:ascii="Times New Roman" w:hAnsi="Times New Roman" w:eastAsia="等线"/>
          <w:bCs/>
          <w:iCs/>
          <w:sz w:val="20"/>
          <w:szCs w:val="20"/>
          <w:lang w:val="en-US" w:eastAsia="zh-CN"/>
        </w:rPr>
        <w:t xml:space="preserve">RX beamforming gain which is up to UE implementation, it was agreed in RAN4 #111 meeting that the ground truth for FR2 is the approximate as the reported RSRP measurement under the certain SNR on the predicted Tx beam. And assumption is that SNR is high enough for sufficient accuracy of reported RSRP.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2C58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ADD51E9">
            <w:pPr>
              <w:rPr>
                <w:rFonts w:hint="default" w:ascii="Times New Roman" w:hAnsi="Times New Roman" w:cs="Times New Roman"/>
                <w:b/>
                <w:sz w:val="20"/>
                <w:szCs w:val="20"/>
                <w:highlight w:val="none"/>
                <w:u w:val="single"/>
              </w:rPr>
            </w:pPr>
            <w:r>
              <w:rPr>
                <w:rFonts w:hint="eastAsia" w:ascii="Times New Roman" w:hAnsi="Times New Roman" w:cs="Times New Roman"/>
                <w:b/>
                <w:sz w:val="20"/>
                <w:szCs w:val="20"/>
                <w:highlight w:val="none"/>
                <w:u w:val="single"/>
                <w:lang w:val="en-US" w:eastAsia="zh-CN"/>
              </w:rPr>
              <w:t>Agreements in RAN4 #111 meeting</w:t>
            </w:r>
          </w:p>
          <w:p w14:paraId="01C1C661">
            <w:pPr>
              <w:rPr>
                <w:rFonts w:hint="default" w:ascii="Times New Roman" w:hAnsi="Times New Roman" w:cs="Times New Roman"/>
                <w:b/>
                <w:sz w:val="20"/>
                <w:szCs w:val="20"/>
                <w:highlight w:val="none"/>
                <w:u w:val="single"/>
              </w:rPr>
            </w:pPr>
          </w:p>
          <w:p w14:paraId="22079302">
            <w:pPr>
              <w:rPr>
                <w:rFonts w:hint="default" w:ascii="Times New Roman" w:hAnsi="Times New Roman" w:eastAsia="Yu Mincho" w:cs="Times New Roman"/>
                <w:b/>
                <w:bCs/>
                <w:sz w:val="20"/>
                <w:szCs w:val="20"/>
                <w:highlight w:val="none"/>
                <w:lang w:eastAsia="ja-JP"/>
              </w:rPr>
            </w:pPr>
            <w:r>
              <w:rPr>
                <w:rFonts w:hint="default" w:ascii="Times New Roman" w:hAnsi="Times New Roman" w:eastAsia="Yu Mincho" w:cs="Times New Roman"/>
                <w:b/>
                <w:bCs/>
                <w:sz w:val="20"/>
                <w:szCs w:val="20"/>
                <w:highlight w:val="none"/>
                <w:lang w:eastAsia="ja-JP"/>
              </w:rPr>
              <w:t>Agreement:</w:t>
            </w:r>
          </w:p>
          <w:p w14:paraId="6E188175">
            <w:pPr>
              <w:pStyle w:val="10"/>
              <w:numPr>
                <w:ilvl w:val="0"/>
                <w:numId w:val="6"/>
              </w:numPr>
              <w:overflowPunct w:val="0"/>
              <w:autoSpaceDE w:val="0"/>
              <w:autoSpaceDN w:val="0"/>
              <w:adjustRightInd w:val="0"/>
              <w:spacing w:after="180"/>
              <w:textAlignment w:val="baseline"/>
              <w:rPr>
                <w:rFonts w:hint="default" w:ascii="Times New Roman" w:hAnsi="Times New Roman" w:eastAsia="Yu Mincho" w:cs="Times New Roman"/>
                <w:sz w:val="20"/>
                <w:szCs w:val="20"/>
                <w:highlight w:val="none"/>
                <w:lang w:eastAsia="ja-JP"/>
              </w:rPr>
            </w:pPr>
            <w:r>
              <w:rPr>
                <w:rFonts w:hint="default" w:ascii="Times New Roman" w:hAnsi="Times New Roman" w:eastAsia="Yu Mincho" w:cs="Times New Roman"/>
                <w:sz w:val="20"/>
                <w:szCs w:val="20"/>
                <w:highlight w:val="none"/>
                <w:lang w:eastAsia="ja-JP"/>
              </w:rPr>
              <w:t>The ground truth for the predicted RSRP is the ideal measurement of RSRP on the predicted Tx beam</w:t>
            </w:r>
          </w:p>
          <w:p w14:paraId="457EF1A8">
            <w:pPr>
              <w:pStyle w:val="10"/>
              <w:numPr>
                <w:ilvl w:val="1"/>
                <w:numId w:val="6"/>
              </w:numPr>
              <w:overflowPunct w:val="0"/>
              <w:autoSpaceDE w:val="0"/>
              <w:autoSpaceDN w:val="0"/>
              <w:adjustRightInd w:val="0"/>
              <w:spacing w:after="180"/>
              <w:textAlignment w:val="baseline"/>
              <w:rPr>
                <w:rFonts w:hint="default" w:ascii="Times New Roman" w:hAnsi="Times New Roman" w:eastAsia="Yu Mincho" w:cs="Times New Roman"/>
                <w:sz w:val="20"/>
                <w:szCs w:val="20"/>
                <w:highlight w:val="none"/>
                <w:lang w:eastAsia="ja-JP"/>
              </w:rPr>
            </w:pPr>
            <w:r>
              <w:rPr>
                <w:rFonts w:hint="default" w:ascii="Times New Roman" w:hAnsi="Times New Roman" w:eastAsia="Yu Mincho" w:cs="Times New Roman"/>
                <w:sz w:val="20"/>
                <w:szCs w:val="20"/>
                <w:highlight w:val="none"/>
                <w:lang w:eastAsia="ja-JP"/>
              </w:rPr>
              <w:t>In RAN4, the ground truth is the approximate as the reported RSRP measurement under the certain SNR on the predicted Tx beam</w:t>
            </w:r>
          </w:p>
          <w:p w14:paraId="3D077D22">
            <w:pPr>
              <w:pStyle w:val="10"/>
              <w:numPr>
                <w:ilvl w:val="2"/>
                <w:numId w:val="6"/>
              </w:numPr>
              <w:overflowPunct w:val="0"/>
              <w:autoSpaceDE w:val="0"/>
              <w:autoSpaceDN w:val="0"/>
              <w:adjustRightInd w:val="0"/>
              <w:spacing w:after="180"/>
              <w:textAlignment w:val="baseline"/>
              <w:rPr>
                <w:rFonts w:hint="default" w:ascii="Times New Roman" w:hAnsi="Times New Roman" w:eastAsia="Yu Mincho" w:cs="Times New Roman"/>
                <w:sz w:val="20"/>
                <w:szCs w:val="20"/>
                <w:highlight w:val="none"/>
                <w:lang w:eastAsia="ja-JP"/>
              </w:rPr>
            </w:pPr>
            <w:r>
              <w:rPr>
                <w:rFonts w:hint="default" w:ascii="Times New Roman" w:hAnsi="Times New Roman" w:eastAsia="Yu Mincho" w:cs="Times New Roman"/>
                <w:sz w:val="20"/>
                <w:szCs w:val="20"/>
                <w:highlight w:val="none"/>
                <w:lang w:eastAsia="ja-JP"/>
              </w:rPr>
              <w:t>FFS on SNR level to ensure that SNR is high enough for sufficient accuracy of reported RSRP</w:t>
            </w:r>
          </w:p>
          <w:p w14:paraId="29E9EFC7">
            <w:pPr>
              <w:pStyle w:val="10"/>
              <w:numPr>
                <w:ilvl w:val="2"/>
                <w:numId w:val="6"/>
              </w:numPr>
              <w:overflowPunct w:val="0"/>
              <w:autoSpaceDE w:val="0"/>
              <w:autoSpaceDN w:val="0"/>
              <w:adjustRightInd w:val="0"/>
              <w:spacing w:after="180"/>
              <w:textAlignment w:val="baseline"/>
              <w:rPr>
                <w:rFonts w:hint="default" w:ascii="Times New Roman" w:hAnsi="Times New Roman" w:eastAsia="Yu Mincho" w:cs="Times New Roman"/>
                <w:sz w:val="20"/>
                <w:szCs w:val="20"/>
                <w:highlight w:val="none"/>
                <w:lang w:eastAsia="ja-JP"/>
              </w:rPr>
            </w:pPr>
            <w:r>
              <w:rPr>
                <w:rFonts w:hint="default" w:ascii="Times New Roman" w:hAnsi="Times New Roman" w:eastAsia="Yu Mincho" w:cs="Times New Roman"/>
                <w:sz w:val="20"/>
                <w:szCs w:val="20"/>
                <w:highlight w:val="none"/>
                <w:lang w:eastAsia="ja-JP"/>
              </w:rPr>
              <w:t>FFS on impact of multiple-AoA test setup</w:t>
            </w:r>
          </w:p>
          <w:p w14:paraId="231F2D98">
            <w:pPr>
              <w:pStyle w:val="10"/>
              <w:numPr>
                <w:ilvl w:val="2"/>
                <w:numId w:val="6"/>
              </w:numPr>
              <w:overflowPunct w:val="0"/>
              <w:autoSpaceDE w:val="0"/>
              <w:autoSpaceDN w:val="0"/>
              <w:adjustRightInd w:val="0"/>
              <w:spacing w:after="180"/>
              <w:textAlignment w:val="baseline"/>
              <w:rPr>
                <w:rFonts w:hint="default" w:ascii="Times New Roman" w:hAnsi="Times New Roman" w:eastAsia="Yu Mincho" w:cs="Times New Roman"/>
                <w:sz w:val="20"/>
                <w:szCs w:val="20"/>
                <w:highlight w:val="none"/>
                <w:lang w:eastAsia="ja-JP"/>
              </w:rPr>
            </w:pPr>
            <w:r>
              <w:rPr>
                <w:rFonts w:hint="default" w:ascii="Times New Roman" w:hAnsi="Times New Roman" w:eastAsia="Yu Mincho" w:cs="Times New Roman"/>
                <w:sz w:val="20"/>
                <w:szCs w:val="20"/>
                <w:highlight w:val="none"/>
                <w:lang w:eastAsia="ja-JP"/>
              </w:rPr>
              <w:t>FFS on the channel condition</w:t>
            </w:r>
          </w:p>
          <w:p w14:paraId="7A745C9E">
            <w:pPr>
              <w:pStyle w:val="10"/>
              <w:numPr>
                <w:ilvl w:val="2"/>
                <w:numId w:val="6"/>
              </w:numPr>
              <w:overflowPunct w:val="0"/>
              <w:autoSpaceDE w:val="0"/>
              <w:autoSpaceDN w:val="0"/>
              <w:adjustRightInd w:val="0"/>
              <w:spacing w:after="180"/>
              <w:textAlignment w:val="baseline"/>
              <w:rPr>
                <w:rFonts w:hint="default" w:ascii="Times New Roman" w:hAnsi="Times New Roman" w:eastAsia="Yu Mincho" w:cs="Times New Roman"/>
                <w:sz w:val="20"/>
                <w:szCs w:val="20"/>
                <w:highlight w:val="none"/>
                <w:lang w:eastAsia="ja-JP"/>
              </w:rPr>
            </w:pPr>
            <w:r>
              <w:rPr>
                <w:rFonts w:hint="default" w:ascii="Times New Roman" w:hAnsi="Times New Roman" w:eastAsia="Yu Mincho" w:cs="Times New Roman"/>
                <w:sz w:val="20"/>
                <w:szCs w:val="20"/>
                <w:highlight w:val="none"/>
                <w:lang w:eastAsia="ja-JP"/>
              </w:rPr>
              <w:t>FFS on whether the ground truth will be changing or not</w:t>
            </w:r>
          </w:p>
          <w:p w14:paraId="7D2F179B">
            <w:pPr>
              <w:pStyle w:val="10"/>
              <w:numPr>
                <w:ilvl w:val="1"/>
                <w:numId w:val="6"/>
              </w:numPr>
              <w:overflowPunct w:val="0"/>
              <w:autoSpaceDE w:val="0"/>
              <w:autoSpaceDN w:val="0"/>
              <w:adjustRightInd w:val="0"/>
              <w:spacing w:after="180"/>
              <w:textAlignment w:val="baseline"/>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Yu Mincho" w:cs="Times New Roman"/>
                <w:sz w:val="20"/>
                <w:szCs w:val="20"/>
                <w:highlight w:val="none"/>
                <w:lang w:eastAsia="ja-JP"/>
              </w:rPr>
              <w:t>Other solutions are not precluded</w:t>
            </w:r>
          </w:p>
        </w:tc>
      </w:tr>
    </w:tbl>
    <w:p w14:paraId="1684459F">
      <w:pPr>
        <w:spacing w:after="180" w:line="240" w:lineRule="exact"/>
        <w:rPr>
          <w:rFonts w:hint="eastAsia" w:ascii="Times New Roman" w:hAnsi="Times New Roman" w:eastAsia="等线"/>
          <w:bCs/>
          <w:iCs/>
          <w:sz w:val="20"/>
          <w:szCs w:val="20"/>
          <w:lang w:val="en-US" w:eastAsia="zh-CN"/>
        </w:rPr>
      </w:pPr>
    </w:p>
    <w:p w14:paraId="57FE220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With above agreements, during the test, it is necessary to have the procedure to get the ground truth. And it is straightforward that there is a part for prediction. Of course, the final KPI for BM is not conclided, if absolute RSRP accuracy is agreed as test metric, Option 1 can be used as baseline that test for BM at least include two parts: the part to get ground truth, and the part for prediction performance verification.</w:t>
      </w:r>
    </w:p>
    <w:p w14:paraId="660D725F">
      <w:pPr>
        <w:spacing w:after="180" w:line="240" w:lineRule="exact"/>
        <w:rPr>
          <w:rFonts w:hint="default" w:ascii="Times New Roman" w:hAnsi="Times New Roman" w:eastAsia="等线" w:cs="Times New Roman"/>
          <w:b/>
          <w:bCs w:val="0"/>
          <w:i/>
          <w:iCs w:val="0"/>
          <w:sz w:val="20"/>
          <w:szCs w:val="20"/>
          <w:lang w:val="en-US" w:eastAsia="zh-CN"/>
        </w:rPr>
      </w:pPr>
      <w:r>
        <w:rPr>
          <w:rFonts w:hint="default" w:ascii="Times New Roman" w:hAnsi="Times New Roman" w:eastAsia="等线" w:cs="Times New Roman"/>
          <w:b/>
          <w:bCs w:val="0"/>
          <w:i/>
          <w:iCs w:val="0"/>
          <w:sz w:val="20"/>
          <w:szCs w:val="20"/>
          <w:lang w:val="en-US" w:eastAsia="zh-CN"/>
        </w:rPr>
        <w:t xml:space="preserve">Proposal </w:t>
      </w:r>
      <w:r>
        <w:rPr>
          <w:rFonts w:hint="eastAsia" w:ascii="Times New Roman" w:hAnsi="Times New Roman" w:eastAsia="等线" w:cs="Times New Roman"/>
          <w:b/>
          <w:bCs w:val="0"/>
          <w:i/>
          <w:iCs w:val="0"/>
          <w:sz w:val="20"/>
          <w:szCs w:val="20"/>
          <w:lang w:val="en-US" w:eastAsia="zh-CN"/>
        </w:rPr>
        <w:t>4</w:t>
      </w:r>
      <w:r>
        <w:rPr>
          <w:rFonts w:hint="default" w:ascii="Times New Roman" w:hAnsi="Times New Roman" w:eastAsia="等线" w:cs="Times New Roman"/>
          <w:b/>
          <w:bCs w:val="0"/>
          <w:i/>
          <w:iCs w:val="0"/>
          <w:sz w:val="20"/>
          <w:szCs w:val="20"/>
          <w:lang w:val="en-US" w:eastAsia="zh-CN"/>
        </w:rPr>
        <w:t xml:space="preserve">: </w:t>
      </w:r>
      <w:r>
        <w:rPr>
          <w:rFonts w:hint="default" w:ascii="Times New Roman" w:hAnsi="Times New Roman" w:eastAsia="游明朝" w:cs="Times New Roman"/>
          <w:b/>
          <w:bCs w:val="0"/>
          <w:i/>
          <w:iCs w:val="0"/>
          <w:sz w:val="20"/>
          <w:szCs w:val="20"/>
          <w:lang w:eastAsia="ja-JP"/>
        </w:rPr>
        <w:t>If the absolute RSRP is agreed to be metric for the beam management prediction,</w:t>
      </w:r>
      <w:r>
        <w:rPr>
          <w:rFonts w:hint="default" w:ascii="Times New Roman" w:hAnsi="Times New Roman" w:cs="Times New Roman"/>
          <w:b/>
          <w:bCs w:val="0"/>
          <w:i/>
          <w:iCs w:val="0"/>
          <w:sz w:val="20"/>
          <w:szCs w:val="20"/>
          <w:lang w:val="en-US" w:eastAsia="zh-CN"/>
        </w:rPr>
        <w:t xml:space="preserve"> </w:t>
      </w:r>
      <w:r>
        <w:rPr>
          <w:rFonts w:hint="default" w:ascii="Times New Roman" w:hAnsi="Times New Roman" w:eastAsia="等线" w:cs="Times New Roman"/>
          <w:b/>
          <w:bCs w:val="0"/>
          <w:i/>
          <w:iCs w:val="0"/>
          <w:sz w:val="20"/>
          <w:szCs w:val="20"/>
          <w:lang w:val="en-US" w:eastAsia="zh-CN"/>
        </w:rPr>
        <w:t>it is proposed that tests for BM at least include two parts: the part to get ground truth, and the part for prediction</w:t>
      </w:r>
      <w:r>
        <w:rPr>
          <w:rFonts w:hint="eastAsia" w:ascii="Times New Roman" w:hAnsi="Times New Roman" w:eastAsia="等线" w:cs="Times New Roman"/>
          <w:b/>
          <w:bCs w:val="0"/>
          <w:i/>
          <w:iCs w:val="0"/>
          <w:sz w:val="20"/>
          <w:szCs w:val="20"/>
          <w:lang w:val="en-US" w:eastAsia="zh-CN"/>
        </w:rPr>
        <w:t xml:space="preserve"> verification</w:t>
      </w:r>
      <w:r>
        <w:rPr>
          <w:rFonts w:hint="default" w:ascii="Times New Roman" w:hAnsi="Times New Roman" w:eastAsia="等线" w:cs="Times New Roman"/>
          <w:b/>
          <w:bCs w:val="0"/>
          <w:i/>
          <w:iCs w:val="0"/>
          <w:sz w:val="20"/>
          <w:szCs w:val="20"/>
          <w:lang w:val="en-US" w:eastAsia="zh-CN"/>
        </w:rPr>
        <w:t>.</w:t>
      </w:r>
    </w:p>
    <w:p w14:paraId="03F93C02">
      <w:pPr>
        <w:spacing w:after="180" w:line="240" w:lineRule="exact"/>
        <w:rPr>
          <w:rFonts w:hint="eastAsia" w:ascii="Times New Roman" w:hAnsi="Times New Roman" w:eastAsia="等线"/>
          <w:bCs/>
          <w:iCs/>
          <w:sz w:val="20"/>
          <w:szCs w:val="20"/>
          <w:lang w:val="en-US" w:eastAsia="zh-CN"/>
        </w:rPr>
      </w:pPr>
    </w:p>
    <w:bookmarkEnd w:id="6"/>
    <w:bookmarkEnd w:id="7"/>
    <w:p w14:paraId="1191F572">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4727D05C">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lang w:val="en-US" w:eastAsia="zh-CN"/>
        </w:rPr>
        <w:t>testing framework and procedure for one-sided models</w:t>
      </w:r>
      <w:r>
        <w:rPr>
          <w:rFonts w:hint="eastAsia" w:ascii="Times New Roman" w:hAnsi="Times New Roman"/>
          <w:sz w:val="20"/>
          <w:szCs w:val="20"/>
        </w:rPr>
        <w:t>. The proposals are:</w:t>
      </w:r>
    </w:p>
    <w:p w14:paraId="625CFBC9">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measurement error impact evaluation, it is proposed to consider a single error covering both baseband error and RF error. And it is proposed to consider baseband error under different SNR. </w:t>
      </w:r>
    </w:p>
    <w:p w14:paraId="47B1CD6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to verify beam management performance, it is proposed to use multiple AoAs test systems.</w:t>
      </w:r>
    </w:p>
    <w:p w14:paraId="5A259A7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beam prediction testing, it is prefered to consider CDL, but we are also fine with simplified CDL. </w:t>
      </w:r>
    </w:p>
    <w:p w14:paraId="01E5D5A5">
      <w:pPr>
        <w:spacing w:after="180" w:line="240" w:lineRule="exact"/>
        <w:rPr>
          <w:rFonts w:hint="default" w:ascii="Times New Roman" w:hAnsi="Times New Roman" w:eastAsia="等线" w:cs="Times New Roman"/>
          <w:b/>
          <w:bCs w:val="0"/>
          <w:i/>
          <w:iCs w:val="0"/>
          <w:sz w:val="20"/>
          <w:szCs w:val="20"/>
          <w:lang w:val="en-US" w:eastAsia="zh-CN"/>
        </w:rPr>
      </w:pPr>
      <w:r>
        <w:rPr>
          <w:rFonts w:hint="default" w:ascii="Times New Roman" w:hAnsi="Times New Roman" w:eastAsia="等线" w:cs="Times New Roman"/>
          <w:b/>
          <w:bCs w:val="0"/>
          <w:i/>
          <w:iCs w:val="0"/>
          <w:sz w:val="20"/>
          <w:szCs w:val="20"/>
          <w:lang w:val="en-US" w:eastAsia="zh-CN"/>
        </w:rPr>
        <w:t xml:space="preserve">Proposal </w:t>
      </w:r>
      <w:r>
        <w:rPr>
          <w:rFonts w:hint="eastAsia" w:ascii="Times New Roman" w:hAnsi="Times New Roman" w:eastAsia="等线" w:cs="Times New Roman"/>
          <w:b/>
          <w:bCs w:val="0"/>
          <w:i/>
          <w:iCs w:val="0"/>
          <w:sz w:val="20"/>
          <w:szCs w:val="20"/>
          <w:lang w:val="en-US" w:eastAsia="zh-CN"/>
        </w:rPr>
        <w:t>4</w:t>
      </w:r>
      <w:r>
        <w:rPr>
          <w:rFonts w:hint="default" w:ascii="Times New Roman" w:hAnsi="Times New Roman" w:eastAsia="等线" w:cs="Times New Roman"/>
          <w:b/>
          <w:bCs w:val="0"/>
          <w:i/>
          <w:iCs w:val="0"/>
          <w:sz w:val="20"/>
          <w:szCs w:val="20"/>
          <w:lang w:val="en-US" w:eastAsia="zh-CN"/>
        </w:rPr>
        <w:t xml:space="preserve">: </w:t>
      </w:r>
      <w:r>
        <w:rPr>
          <w:rFonts w:hint="default" w:ascii="Times New Roman" w:hAnsi="Times New Roman" w:eastAsia="游明朝" w:cs="Times New Roman"/>
          <w:b/>
          <w:bCs w:val="0"/>
          <w:i/>
          <w:iCs w:val="0"/>
          <w:sz w:val="20"/>
          <w:szCs w:val="20"/>
          <w:lang w:eastAsia="ja-JP"/>
        </w:rPr>
        <w:t>If the absolute RSRP is agreed to be metric for the beam management prediction,</w:t>
      </w:r>
      <w:r>
        <w:rPr>
          <w:rFonts w:hint="default" w:ascii="Times New Roman" w:hAnsi="Times New Roman" w:cs="Times New Roman"/>
          <w:b/>
          <w:bCs w:val="0"/>
          <w:i/>
          <w:iCs w:val="0"/>
          <w:sz w:val="20"/>
          <w:szCs w:val="20"/>
          <w:lang w:val="en-US" w:eastAsia="zh-CN"/>
        </w:rPr>
        <w:t xml:space="preserve"> </w:t>
      </w:r>
      <w:r>
        <w:rPr>
          <w:rFonts w:hint="default" w:ascii="Times New Roman" w:hAnsi="Times New Roman" w:eastAsia="等线" w:cs="Times New Roman"/>
          <w:b/>
          <w:bCs w:val="0"/>
          <w:i/>
          <w:iCs w:val="0"/>
          <w:sz w:val="20"/>
          <w:szCs w:val="20"/>
          <w:lang w:val="en-US" w:eastAsia="zh-CN"/>
        </w:rPr>
        <w:t>it is proposed that tests for BM at least include two parts: the part to get ground truth, and the part for prediction</w:t>
      </w:r>
      <w:r>
        <w:rPr>
          <w:rFonts w:hint="eastAsia" w:ascii="Times New Roman" w:hAnsi="Times New Roman" w:eastAsia="等线" w:cs="Times New Roman"/>
          <w:b/>
          <w:bCs w:val="0"/>
          <w:i/>
          <w:iCs w:val="0"/>
          <w:sz w:val="20"/>
          <w:szCs w:val="20"/>
          <w:lang w:val="en-US" w:eastAsia="zh-CN"/>
        </w:rPr>
        <w:t xml:space="preserve"> verification</w:t>
      </w:r>
      <w:r>
        <w:rPr>
          <w:rFonts w:hint="default" w:ascii="Times New Roman" w:hAnsi="Times New Roman" w:eastAsia="等线" w:cs="Times New Roman"/>
          <w:b/>
          <w:bCs w:val="0"/>
          <w:i/>
          <w:iCs w:val="0"/>
          <w:sz w:val="20"/>
          <w:szCs w:val="20"/>
          <w:lang w:val="en-US" w:eastAsia="zh-CN"/>
        </w:rPr>
        <w:t>.</w:t>
      </w:r>
    </w:p>
    <w:p w14:paraId="487BBD84">
      <w:pPr>
        <w:tabs>
          <w:tab w:val="left" w:pos="1134"/>
        </w:tabs>
        <w:spacing w:after="180" w:line="240" w:lineRule="exact"/>
        <w:rPr>
          <w:rFonts w:hint="eastAsia" w:ascii="Times New Roman" w:hAnsi="Times New Roman"/>
          <w:sz w:val="20"/>
          <w:szCs w:val="20"/>
        </w:rPr>
      </w:pPr>
    </w:p>
    <w:p w14:paraId="57041B0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2274A1A">
      <w:pPr>
        <w:pStyle w:val="12"/>
        <w:framePr w:wrap="auto" w:vAnchor="margin" w:hAnchor="text" w:yAlign="inline"/>
        <w:numPr>
          <w:ilvl w:val="0"/>
          <w:numId w:val="7"/>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243245, </w:t>
      </w:r>
      <w:r>
        <w:rPr>
          <w:rFonts w:hint="eastAsia" w:ascii="Times" w:hAnsi="Times" w:eastAsia="宋体"/>
          <w:b w:val="0"/>
          <w:sz w:val="20"/>
          <w:lang w:eastAsia="zh-CN"/>
        </w:rPr>
        <w:t>New SID: Study on Artificial Intelligence (AI)/Machine Learning (ML) for NR air interface Phase 2</w:t>
      </w:r>
    </w:p>
    <w:p w14:paraId="4B1FD71B">
      <w:pPr>
        <w:pStyle w:val="12"/>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R4-2420336</w:t>
      </w:r>
      <w:r>
        <w:rPr>
          <w:rFonts w:hint="eastAsia" w:ascii="Times" w:hAnsi="Times" w:eastAsia="宋体"/>
          <w:b w:val="0"/>
          <w:sz w:val="20"/>
          <w:lang w:val="en-US" w:eastAsia="zh-CN"/>
        </w:rPr>
        <w:t>, WF on AI/ML air interface part 2, Ericsson</w:t>
      </w:r>
    </w:p>
    <w:p w14:paraId="78F707CA">
      <w:pPr>
        <w:pStyle w:val="12"/>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505489AA">
      <w:pPr>
        <w:pStyle w:val="12"/>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404F3C73">
      <w:pPr>
        <w:pStyle w:val="12"/>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10CA1882">
      <w:pPr>
        <w:pStyle w:val="12"/>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4CA36734">
      <w:pPr>
        <w:pStyle w:val="12"/>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18ED4ACE">
      <w:pPr>
        <w:pStyle w:val="12"/>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5F880012">
      <w:pPr>
        <w:pStyle w:val="12"/>
        <w:framePr w:wrap="auto" w:vAnchor="margin" w:hAnchor="text" w:yAlign="inline"/>
        <w:ind w:right="400"/>
        <w:jc w:val="both"/>
        <w:rPr>
          <w:rFonts w:ascii="Times" w:hAnsi="Times" w:eastAsia="宋体"/>
          <w:b w:val="0"/>
          <w:sz w:val="20"/>
          <w:lang w:eastAsia="zh-CN"/>
        </w:rPr>
      </w:pPr>
    </w:p>
    <w:p w14:paraId="17D79F8E">
      <w:pPr>
        <w:pStyle w:val="12"/>
        <w:framePr w:wrap="auto" w:vAnchor="margin" w:hAnchor="text" w:yAlign="inline"/>
        <w:ind w:right="400"/>
        <w:jc w:val="both"/>
        <w:rPr>
          <w:rFonts w:hint="eastAsia" w:ascii="Times" w:hAnsi="Times" w:eastAsia="宋体"/>
          <w:b w:val="0"/>
          <w:sz w:val="20"/>
          <w:lang w:val="en-US" w:eastAsia="zh-CN"/>
        </w:rPr>
      </w:pPr>
    </w:p>
    <w:p w14:paraId="60C6E587"/>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70F7855"/>
    <w:multiLevelType w:val="multilevel"/>
    <w:tmpl w:val="370F78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2487"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3"/>
  </w:num>
  <w:num w:numId="3">
    <w:abstractNumId w:val="1"/>
  </w:num>
  <w:num w:numId="4">
    <w:abstractNumId w:val="4"/>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27921"/>
    <w:rsid w:val="08517143"/>
    <w:rsid w:val="0A12645E"/>
    <w:rsid w:val="0F151C4C"/>
    <w:rsid w:val="0FDC1669"/>
    <w:rsid w:val="0FE50EF5"/>
    <w:rsid w:val="11772E7B"/>
    <w:rsid w:val="11DA00E3"/>
    <w:rsid w:val="11EF63FD"/>
    <w:rsid w:val="13287BFA"/>
    <w:rsid w:val="15685863"/>
    <w:rsid w:val="15C5068C"/>
    <w:rsid w:val="1A4B52AF"/>
    <w:rsid w:val="1D1F2FC4"/>
    <w:rsid w:val="22EB365A"/>
    <w:rsid w:val="296D4518"/>
    <w:rsid w:val="2EA06DC5"/>
    <w:rsid w:val="308E7578"/>
    <w:rsid w:val="36E2469A"/>
    <w:rsid w:val="3CAA4F7D"/>
    <w:rsid w:val="3DEF01B7"/>
    <w:rsid w:val="3E13789B"/>
    <w:rsid w:val="44277E60"/>
    <w:rsid w:val="49AC5F6D"/>
    <w:rsid w:val="4A315E42"/>
    <w:rsid w:val="4D3D03C8"/>
    <w:rsid w:val="501A381E"/>
    <w:rsid w:val="51C047C1"/>
    <w:rsid w:val="523C403B"/>
    <w:rsid w:val="56EC26DB"/>
    <w:rsid w:val="5ABE706E"/>
    <w:rsid w:val="5B4A5B54"/>
    <w:rsid w:val="5BE61256"/>
    <w:rsid w:val="616927E9"/>
    <w:rsid w:val="6468132B"/>
    <w:rsid w:val="66DE5E04"/>
    <w:rsid w:val="6BD91AAD"/>
    <w:rsid w:val="6D205895"/>
    <w:rsid w:val="70BC6081"/>
    <w:rsid w:val="715C7A87"/>
    <w:rsid w:val="74621F57"/>
    <w:rsid w:val="75886832"/>
    <w:rsid w:val="7A294CC5"/>
    <w:rsid w:val="7AD6041B"/>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2025-02-07T08:45:28Z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